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3C" w:rsidRPr="0033443C" w:rsidRDefault="0033443C" w:rsidP="0033443C">
      <w:pPr>
        <w:spacing w:before="100" w:beforeAutospacing="1" w:after="100" w:afterAutospacing="1" w:line="240" w:lineRule="auto"/>
        <w:jc w:val="center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微软雅黑" w:eastAsia="微软雅黑" w:hAnsi="微软雅黑" w:hint="eastAsia"/>
          <w:b/>
          <w:bCs/>
          <w:color w:val="FF0000"/>
          <w:kern w:val="0"/>
          <w:sz w:val="27"/>
          <w:szCs w:val="27"/>
        </w:rPr>
        <w:t>中共合肥市委办公厅文件</w:t>
      </w:r>
    </w:p>
    <w:p w:rsidR="0033443C" w:rsidRPr="0033443C" w:rsidRDefault="0033443C" w:rsidP="0033443C">
      <w:pPr>
        <w:spacing w:before="100" w:beforeAutospacing="1" w:after="100" w:afterAutospacing="1" w:line="345" w:lineRule="atLeast"/>
        <w:jc w:val="center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宋体" w:hAnsi="宋体" w:hint="eastAsia"/>
          <w:color w:val="333333"/>
          <w:kern w:val="0"/>
          <w:sz w:val="18"/>
          <w:szCs w:val="18"/>
        </w:rPr>
        <w:t>  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center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t>合办〔2018〕18号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宋体" w:hAnsi="宋体" w:hint="eastAsia"/>
          <w:color w:val="333333"/>
          <w:kern w:val="0"/>
          <w:sz w:val="18"/>
          <w:szCs w:val="18"/>
        </w:rPr>
        <w:t>  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center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中共合肥市委办公厅 合肥市人民政府办公厅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center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印发</w:t>
      </w:r>
      <w:proofErr w:type="gramStart"/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《</w:t>
      </w:r>
      <w:proofErr w:type="gramEnd"/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关于进一步支持人才来肥创新创业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center"/>
        <w:rPr>
          <w:rFonts w:ascii="宋体" w:hAnsi="宋体" w:hint="eastAsia"/>
          <w:color w:val="333333"/>
          <w:kern w:val="0"/>
          <w:sz w:val="18"/>
          <w:szCs w:val="18"/>
        </w:rPr>
      </w:pPr>
      <w:bookmarkStart w:id="0" w:name="_GoBack"/>
      <w:bookmarkEnd w:id="0"/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的若干政策</w:t>
      </w:r>
      <w:proofErr w:type="gramStart"/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》</w:t>
      </w:r>
      <w:proofErr w:type="gramEnd"/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的通知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宋体" w:hAnsi="宋体" w:hint="eastAsia"/>
          <w:color w:val="333333"/>
          <w:kern w:val="0"/>
          <w:sz w:val="18"/>
          <w:szCs w:val="18"/>
        </w:rPr>
        <w:t>  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color w:val="333333"/>
          <w:kern w:val="0"/>
          <w:sz w:val="32"/>
          <w:szCs w:val="32"/>
        </w:rPr>
        <w:t>各县（市）区委，各县（市）区人民政府，市直各单位，省</w:t>
      </w:r>
      <w:proofErr w:type="gramStart"/>
      <w:r w:rsidRPr="0033443C">
        <w:rPr>
          <w:rFonts w:ascii="楷体_gb2312" w:eastAsia="楷体_gb2312" w:hAnsi="宋体" w:hint="eastAsia"/>
          <w:color w:val="333333"/>
          <w:kern w:val="0"/>
          <w:sz w:val="32"/>
          <w:szCs w:val="32"/>
        </w:rPr>
        <w:t>部属驻肥</w:t>
      </w:r>
      <w:proofErr w:type="gramEnd"/>
      <w:r w:rsidRPr="0033443C">
        <w:rPr>
          <w:rFonts w:ascii="楷体_gb2312" w:eastAsia="楷体_gb2312" w:hAnsi="宋体" w:hint="eastAsia"/>
          <w:color w:val="333333"/>
          <w:kern w:val="0"/>
          <w:sz w:val="32"/>
          <w:szCs w:val="32"/>
        </w:rPr>
        <w:t>有关单位：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color w:val="333333"/>
          <w:kern w:val="0"/>
          <w:sz w:val="32"/>
          <w:szCs w:val="32"/>
        </w:rPr>
        <w:t>《关于进一步支持人才来肥创新创业的若干政策》已经市委、市政府同意，现印发给你们，请结合实际认真贯彻执行。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宋体" w:hAnsi="宋体" w:hint="eastAsia"/>
          <w:color w:val="333333"/>
          <w:kern w:val="0"/>
          <w:sz w:val="18"/>
          <w:szCs w:val="18"/>
        </w:rPr>
        <w:t>  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righ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color w:val="333333"/>
          <w:spacing w:val="15"/>
          <w:kern w:val="0"/>
          <w:sz w:val="32"/>
          <w:szCs w:val="32"/>
        </w:rPr>
        <w:t>中共合肥市委办公</w:t>
      </w:r>
      <w:r w:rsidRPr="0033443C">
        <w:rPr>
          <w:rFonts w:ascii="楷体_gb2312" w:eastAsia="楷体_gb2312" w:hAnsi="宋体" w:hint="eastAsia"/>
          <w:color w:val="333333"/>
          <w:kern w:val="0"/>
          <w:sz w:val="32"/>
          <w:szCs w:val="32"/>
        </w:rPr>
        <w:t>厅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righ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color w:val="333333"/>
          <w:kern w:val="0"/>
          <w:sz w:val="32"/>
          <w:szCs w:val="32"/>
        </w:rPr>
        <w:t xml:space="preserve">合肥市人民政府办公厅 </w:t>
      </w:r>
      <w:r w:rsidRPr="0033443C">
        <w:rPr>
          <w:rFonts w:ascii="楷体_gb2312" w:eastAsia="楷体_gb2312" w:hAnsi="宋体" w:hint="eastAsia"/>
          <w:color w:val="333333"/>
          <w:kern w:val="0"/>
          <w:sz w:val="32"/>
          <w:szCs w:val="32"/>
        </w:rPr>
        <w:t>       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righ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color w:val="333333"/>
          <w:spacing w:val="60"/>
          <w:kern w:val="0"/>
          <w:sz w:val="32"/>
          <w:szCs w:val="32"/>
        </w:rPr>
        <w:lastRenderedPageBreak/>
        <w:t>2018年4月26</w:t>
      </w:r>
      <w:r w:rsidRPr="0033443C">
        <w:rPr>
          <w:rFonts w:ascii="楷体_gb2312" w:eastAsia="楷体_gb2312" w:hAnsi="宋体" w:hint="eastAsia"/>
          <w:color w:val="333333"/>
          <w:kern w:val="0"/>
          <w:sz w:val="32"/>
          <w:szCs w:val="32"/>
        </w:rPr>
        <w:t>日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center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仿宋_gb2312" w:eastAsia="仿宋_gb2312" w:hAnsi="宋体" w:hint="eastAsia"/>
          <w:color w:val="333333"/>
          <w:kern w:val="0"/>
          <w:sz w:val="32"/>
          <w:szCs w:val="32"/>
        </w:rPr>
        <w:br w:type="page"/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center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lastRenderedPageBreak/>
        <w:t>关于进一步支持人才</w:t>
      </w:r>
      <w:proofErr w:type="gramStart"/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来肥创新</w:t>
      </w:r>
      <w:proofErr w:type="gramEnd"/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创业的若干政策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宋体" w:hAnsi="宋体" w:hint="eastAsia"/>
          <w:color w:val="333333"/>
          <w:kern w:val="0"/>
          <w:sz w:val="18"/>
          <w:szCs w:val="18"/>
        </w:rPr>
        <w:t>  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2016年4月26日，习近平总书记在视察安徽时指出，合肥这个地方是“养人”的，是一片创新的天地。为认真贯彻落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实习近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平总书记重要讲话精神，营造更加优良的就业环境、创业环境、科研环境，进一步支持各类人才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来肥创新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创业，聚力打造具有全球影响力的人才高地、创新之都，在已经出台的合肥“人才新政20条”的基础上，制定以下政策。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t>一、引进急需紧缺人才。</w:t>
      </w: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突出城市产业转型升级和服务功能提升，围绕战略性新兴产业、优势主导产业、现代服务业和现代农业等重点产业领域和教育、文化、卫生等城市公共服务领域的人才需求，定期发布急需紧缺人才目录。来我市企业工作且符合急需紧缺人才目录的博士、全日制硕士和“双一流”高校本科毕业生以及其他急需紧缺人才，三年内每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月分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别给予3000元、2000元生活补贴，所需经费由市和县（市）区、开发区按1∶1比例分摊。鼓励第三方机构对接产业需求和城市发展，帮助企业引进急需紧缺人才，每成功引进并签订三年以上劳动合同、工作满一年后，按每引进一人给予1万元奖励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lastRenderedPageBreak/>
        <w:t>责任单位：市经信委、市</w:t>
      </w:r>
      <w:proofErr w:type="gramStart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人社局</w:t>
      </w:r>
      <w:proofErr w:type="gramEnd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、市人才办、市财政局，各县（市）区、开发区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t>二、实施基层成长计划。</w:t>
      </w: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坚持服务基层和培养人才相结合、市场主导和政府推动相结合，着力在基层一线培养锻炼青年人才，打造高素质的基层人才队伍。定期发布高校毕业生企业薪酬指导价位，鼓励高校毕业生到各类园区创新创业，到一线企业发展。对到街道（乡镇）、社区（村）等基层工作的高校毕业生，薪酬标准不低于上年度全市职工平均工资标准，积极采取政府购买服务方式，每年统筹提供3000个以上基层社会服务岗位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责任单位：市</w:t>
      </w:r>
      <w:proofErr w:type="gramStart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人社局</w:t>
      </w:r>
      <w:proofErr w:type="gramEnd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、市人才办、市科技局、市经信委、市财政局，各县（市）区、开发区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t>三、拓宽能力提升渠道。</w:t>
      </w: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鼓励社会各界为大学生实习、见习提供岗位和场所，每年稳定提供5万个以上的实习、见习岗位。利用阳光就业服务平台，为广大毕业生提供便利的见习机会，对参加见习的毕业生按规定给予3至12个月见习人员基本生活补贴。对见习期满留岗就业率高的见习基地，按吸纳人数给予见习基地人均1000元的一次性奖励。加大创新创业培训，将高校毕业生纳入免费就业技能培训和创新创业培训范围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lastRenderedPageBreak/>
        <w:t>责任单位：市</w:t>
      </w:r>
      <w:proofErr w:type="gramStart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人社局</w:t>
      </w:r>
      <w:proofErr w:type="gramEnd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、市人才办、市经信委、市财政局、市科技局，各县（市）区、开发区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t>四、加大</w:t>
      </w:r>
      <w:proofErr w:type="gramStart"/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t>安居保障</w:t>
      </w:r>
      <w:proofErr w:type="gramEnd"/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t>力度。</w:t>
      </w: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坚持政府主导、市区联动、社会参与、资源共享，建立多主体供应、多渠道保障、租购并举的住房制度，加快推进人才公寓（租赁住房）建设。放宽人才落户政策，凡自愿来我市工作的普通高校（高等职业院校）应届毕业生、留学归国人员，研究生以上学历、年龄在40周岁以下本科学历、中级及以上专业技术人员、高级工（国家职业资格三级）及以上高技能人才，可以先行落户；上述人才在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肥创新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创业，落户后即可购买首套住房。对新落户在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肥工作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暂无自有住房的博士、35岁以下的硕士、毕业3年内的全日制本科和大专、高等职业院校毕业生，三年内按每人每年2万元、1.5万元、1万元和0.6万元的标准发放租房补贴（不含党政机关、国有企事业单位人员），所需资金由市和县（市）区、开发区按1∶1比例分摊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责任单位：市公安局、市房产局、市</w:t>
      </w:r>
      <w:proofErr w:type="gramStart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人社局</w:t>
      </w:r>
      <w:proofErr w:type="gramEnd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、市人才办、市财政局、市教育局，各县（市）区、开发区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t>五、加强创业资金扶持。</w:t>
      </w: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加大财政投入力度，依法全面落实创业担保贷款政策和税费减免政策，鼓励天使基金、风险投资和创业投资基金等社会资本以多种方式支持大学生创业，拓宽多元化资金支持渠道。高校毕业生首次创办小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微</w:t>
      </w: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企业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并正常经营6个月以上的，可享受1万元一次性创业补贴。设立大学生创业创新引导资金，为在校或毕业5年内的大学生创办企业提供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免资产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抵押融资支持，最高可提供免息贷款10万元，贷款期限最长不超过2年。对在校和毕业5年内的大学生创业企业进行综合评价，每年选出100个左右优秀大学生创业团队，最高给予10万元项目资助。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责任单位：市</w:t>
      </w:r>
      <w:proofErr w:type="gramStart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人社局</w:t>
      </w:r>
      <w:proofErr w:type="gramEnd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、市财政局、市科技局、市经信委，各县（市）区、开发区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t>六、推进创业平台建设。</w:t>
      </w: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鼓励社会各界整合资源，建设各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类创业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平台，推动老旧商业设施、仓储设施、闲置楼宇、过剩商业地产转为创业孵化基地，引导各类人才入驻创新创业。各县（市）区、开发区在地理位置、商业环境、交通条件适宜的地带，建设创新街区、创业特区、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众创空间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，为在校或毕业5年内的大学生提供低成本或免费创业工位。鼓励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众创空间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等平台载体增强服务功能，构建市场化、专业化、全方位的孵化培育机制，支持创业导师到各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类创业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平台开展创业辅导。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责任单位：市</w:t>
      </w:r>
      <w:proofErr w:type="gramStart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人社局</w:t>
      </w:r>
      <w:proofErr w:type="gramEnd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、市财政局、市科技局、市经信委，各县（市）区、开发区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七、强化创业就业服务。</w:t>
      </w: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支持和引导社会力量参与创业就业服务，鼓励多种模式建设“就业创业一站式服务中心”，服务中心成功为本地企业输送各类人才，签订一年以上劳动合同并缴纳社会保险的，按500元/人给予奖补（各类人才一年内不重复计算）。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在驻肥高校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设立一批“高校毕业生就业加油站”，综合设置招聘信息发布、就业指导服务、创业咨询培训、求职创业补贴申报、就业见习推荐等功能区，通过审核的，给予20万元一次性建设补助；年度绩效考评合格的“就业创业一站式服务中心”、“高校毕业生就业加油站”分别给予年度运行补助10万元。免费为大学生创业团队提供商事、财税、法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务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、知识产权、人力资源等全流程专业化服务。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责任单位：市</w:t>
      </w:r>
      <w:proofErr w:type="gramStart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人社局</w:t>
      </w:r>
      <w:proofErr w:type="gramEnd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、市财政局、市经信委、市科技局、市教育局，各县（市）区、开发区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t>八、优化创新创业环境。</w:t>
      </w: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大力推进“互联网+政务服务”，按照“最多跑一次”的要求，建设一体化人才智慧服务平台，实现网上统一申报、统一受理、统一审核、统一拨付，方便各类人才办事和在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肥创新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创业。委托第三方机构编制发布“合肥人才创新创业报告”，定期开展人才发展环境满意度调查。完善人才工程绩效评估和征信体系，逐步建立人才项目评审“全程纪实、责任留痕”制度，增强人才评价公信力。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lastRenderedPageBreak/>
        <w:t>责任单位：市数据资源局、市房产局、市公安局、市人才办、市</w:t>
      </w:r>
      <w:proofErr w:type="gramStart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人社局</w:t>
      </w:r>
      <w:proofErr w:type="gramEnd"/>
      <w:r w:rsidRPr="0033443C">
        <w:rPr>
          <w:rFonts w:ascii="楷体_gb2312" w:eastAsia="楷体_gb2312" w:hAnsi="宋体" w:hint="eastAsia"/>
          <w:b/>
          <w:bCs/>
          <w:color w:val="000000"/>
          <w:kern w:val="0"/>
          <w:sz w:val="32"/>
          <w:szCs w:val="32"/>
        </w:rPr>
        <w:t>、市经信委、市科技局，各县（市）区、开发区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本政策自发布之日起施行。市直有关单位和各县（市）区、开发区根据本政策规定，尽快研究制定具体实施细则，确保政策兑现落实。本政策未尽事宜，按照中央和省、市现行的有关制度规定执行；与我市此前出台政策文件有重复、交叉的，按“从新、从优、从高”的原则执行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本政策由市</w:t>
      </w:r>
      <w:proofErr w:type="gramStart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人社局</w:t>
      </w:r>
      <w:proofErr w:type="gramEnd"/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负责解释。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宋体" w:hAnsi="宋体" w:hint="eastAsia"/>
          <w:color w:val="333333"/>
          <w:kern w:val="0"/>
          <w:sz w:val="18"/>
          <w:szCs w:val="18"/>
        </w:rPr>
        <w:t>  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645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附件：《关于进一步支持人才来肥创新创业的若干政策》任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ind w:firstLine="1440"/>
        <w:rPr>
          <w:rFonts w:ascii="宋体" w:hAnsi="宋体" w:hint="eastAsia"/>
          <w:color w:val="333333"/>
          <w:kern w:val="0"/>
          <w:sz w:val="18"/>
          <w:szCs w:val="18"/>
        </w:rPr>
      </w:pPr>
      <w:proofErr w:type="gramStart"/>
      <w:r w:rsidRPr="0033443C">
        <w:rPr>
          <w:rFonts w:ascii="宋体" w:hAnsi="宋体" w:hint="eastAsia"/>
          <w:color w:val="000000"/>
          <w:kern w:val="0"/>
          <w:sz w:val="32"/>
          <w:szCs w:val="32"/>
        </w:rPr>
        <w:t>务</w:t>
      </w:r>
      <w:proofErr w:type="gramEnd"/>
      <w:r w:rsidRPr="0033443C">
        <w:rPr>
          <w:rFonts w:ascii="宋体" w:hAnsi="宋体" w:hint="eastAsia"/>
          <w:color w:val="000000"/>
          <w:kern w:val="0"/>
          <w:sz w:val="32"/>
          <w:szCs w:val="32"/>
        </w:rPr>
        <w:t>分解表</w:t>
      </w:r>
    </w:p>
    <w:p w:rsidR="0033443C" w:rsidRPr="0033443C" w:rsidRDefault="0033443C" w:rsidP="0033443C">
      <w:pPr>
        <w:spacing w:before="100" w:beforeAutospacing="1" w:after="100" w:afterAutospacing="1" w:line="240" w:lineRule="auto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br w:type="page"/>
      </w:r>
    </w:p>
    <w:p w:rsidR="0033443C" w:rsidRPr="0033443C" w:rsidRDefault="0033443C" w:rsidP="0033443C">
      <w:pPr>
        <w:spacing w:before="100" w:beforeAutospacing="1" w:after="100" w:afterAutospacing="1" w:line="585" w:lineRule="atLeas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</w:t>
      </w:r>
    </w:p>
    <w:p w:rsidR="0033443C" w:rsidRPr="0033443C" w:rsidRDefault="0033443C" w:rsidP="0033443C">
      <w:pPr>
        <w:spacing w:before="100" w:beforeAutospacing="1" w:after="100" w:afterAutospacing="1" w:line="585" w:lineRule="atLeast"/>
        <w:jc w:val="center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《关于进一步支持人才来肥创新创业的若干政策》任务分解表</w:t>
      </w:r>
    </w:p>
    <w:tbl>
      <w:tblPr>
        <w:tblpPr w:leftFromText="180" w:rightFromText="180" w:vertAnchor="text" w:horzAnchor="margin" w:tblpXSpec="center" w:tblpY="750"/>
        <w:tblW w:w="10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591"/>
        <w:gridCol w:w="6028"/>
        <w:gridCol w:w="1179"/>
        <w:gridCol w:w="1252"/>
      </w:tblGrid>
      <w:tr w:rsidR="0033443C" w:rsidRPr="0033443C" w:rsidTr="0033443C">
        <w:trPr>
          <w:trHeight w:val="540"/>
        </w:trPr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85" w:lineRule="atLeast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黑体" w:eastAsia="黑体" w:hAnsi="黑体" w:hint="eastAsia"/>
                <w:color w:val="000000"/>
                <w:kern w:val="0"/>
              </w:rPr>
              <w:t>文件内容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85" w:lineRule="atLeast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黑体" w:eastAsia="黑体" w:hAnsi="黑体" w:hint="eastAsia"/>
                <w:color w:val="000000"/>
                <w:kern w:val="0"/>
              </w:rPr>
              <w:t>任务</w:t>
            </w:r>
          </w:p>
          <w:p w:rsidR="0033443C" w:rsidRPr="0033443C" w:rsidRDefault="0033443C" w:rsidP="0033443C">
            <w:pPr>
              <w:spacing w:before="100" w:beforeAutospacing="1" w:after="100" w:afterAutospacing="1" w:line="285" w:lineRule="atLeast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黑体" w:eastAsia="黑体" w:hAnsi="黑体" w:hint="eastAsia"/>
                <w:color w:val="000000"/>
                <w:kern w:val="0"/>
              </w:rPr>
              <w:t>序号</w:t>
            </w:r>
          </w:p>
        </w:tc>
        <w:tc>
          <w:tcPr>
            <w:tcW w:w="60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85" w:lineRule="atLeast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黑体" w:eastAsia="黑体" w:hAnsi="黑体" w:hint="eastAsia"/>
                <w:color w:val="000000"/>
                <w:kern w:val="0"/>
              </w:rPr>
              <w:t>任务内容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85" w:lineRule="atLeast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黑体" w:eastAsia="黑体" w:hAnsi="黑体" w:hint="eastAsia"/>
                <w:color w:val="000000"/>
                <w:kern w:val="0"/>
              </w:rPr>
              <w:t>牵头部门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85" w:lineRule="atLeast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黑体" w:eastAsia="黑体" w:hAnsi="黑体" w:hint="eastAsia"/>
                <w:color w:val="000000"/>
                <w:kern w:val="0"/>
              </w:rPr>
              <w:t>配合部门</w:t>
            </w:r>
          </w:p>
        </w:tc>
      </w:tr>
      <w:tr w:rsidR="0033443C" w:rsidRPr="0033443C" w:rsidTr="0033443C">
        <w:trPr>
          <w:trHeight w:val="1275"/>
        </w:trPr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一、引进急需紧缺人才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突出城市产业转型升级和服务功能提升，围绕战略性新兴产业、优势主导产业、现代服务业和现代农业等重点产业领域和教育、文化、卫生等城市公共服务领域的人才需求，定期发布急需紧缺人才目录。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市经信委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</w:tc>
      </w:tr>
      <w:tr w:rsidR="0033443C" w:rsidRPr="0033443C" w:rsidTr="0033443C">
        <w:trPr>
          <w:trHeight w:val="1245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来我市企业工作且符合急需紧缺人才目录的博士、全日制硕士和“双一流”高校本科毕业生以及其他急需紧缺人才，三年内每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月分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别给予3000元、2000元生活补贴，所需经费由市和县（市）区、开发区按1:1比例分摊。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经信委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</w:tc>
      </w:tr>
      <w:tr w:rsidR="0033443C" w:rsidRPr="0033443C" w:rsidTr="0033443C">
        <w:trPr>
          <w:trHeight w:val="1065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鼓励第三方机构对接产业需求和城市发展，帮助企业引进急需紧缺人才，每成功引进并签订三年以上劳动合同、工作满一年后，按每引进一人给予1万元奖励。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市经信委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</w:tc>
      </w:tr>
      <w:tr w:rsidR="0033443C" w:rsidRPr="0033443C" w:rsidTr="0033443C">
        <w:trPr>
          <w:trHeight w:val="1275"/>
        </w:trPr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二、实施基层成长计划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坚持服务基层和培养人才相结合、市场主导和政府推动相结合，着力在基层一线培养锻炼青年人才，打造高素质的基层人才队伍。定期发布高校毕业生企业薪酬指导价位，鼓励高校毕业生到各类园区创新创业，到一线企业发展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市经信委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市科技局</w:t>
            </w:r>
          </w:p>
        </w:tc>
      </w:tr>
      <w:tr w:rsidR="0033443C" w:rsidRPr="0033443C" w:rsidTr="0033443C">
        <w:trPr>
          <w:trHeight w:val="1035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对到街道（乡镇）、社区（村）等基层工作的高校毕业生，薪酬标准不低于上年度全市职工平均工资标准，积极采取政府购买服务方式，每年统筹提供3000个以上基层社会服务岗位。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</w:tc>
      </w:tr>
      <w:tr w:rsidR="0033443C" w:rsidRPr="0033443C" w:rsidTr="0033443C">
        <w:trPr>
          <w:trHeight w:val="525"/>
        </w:trPr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三、拓宽能力提升渠道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鼓励社会各界为大学生实习、见习提供岗位和场所，每年稳定提供5万个以上的实习、见习岗位。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市经信委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</w:tc>
      </w:tr>
      <w:tr w:rsidR="0033443C" w:rsidRPr="0033443C" w:rsidTr="0033443C">
        <w:trPr>
          <w:trHeight w:val="780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7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tLeas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利用阳光就业服务平台，为广大毕业生提供便利的见习机会，对参加见习的毕业生按规定给予3至12个月见习人员基本生活补贴。对见习期满留岗就业率高的见习基地，按吸纳人数给予见习基地人均1000元的一次性奖励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</w:tc>
      </w:tr>
      <w:tr w:rsidR="0033443C" w:rsidRPr="0033443C" w:rsidTr="0033443C">
        <w:trPr>
          <w:trHeight w:val="525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tLeas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加大创新创业培训，将高校毕业生纳入免费就业技能培训和创新创业培训范围。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lastRenderedPageBreak/>
              <w:t>市科技局</w:t>
            </w:r>
          </w:p>
        </w:tc>
      </w:tr>
      <w:tr w:rsidR="0033443C" w:rsidRPr="0033443C" w:rsidTr="0033443C">
        <w:trPr>
          <w:trHeight w:val="1080"/>
        </w:trPr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lastRenderedPageBreak/>
              <w:t>四、加大</w:t>
            </w:r>
            <w:proofErr w:type="gramStart"/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安居保障</w:t>
            </w:r>
            <w:proofErr w:type="gramEnd"/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力度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tLeas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放宽人才落户政策，凡自愿来我市工作的普通高校（高等职业院校）应届毕业生、留学归国人员，研究生以上学历、年龄在40周岁以下本科学历、中级及以上专业技术人员、高级工（国家职业资格三级）及以上高技能人才，可以先行落户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市公安局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市教育局</w:t>
            </w:r>
          </w:p>
        </w:tc>
      </w:tr>
      <w:tr w:rsidR="0033443C" w:rsidRPr="0033443C" w:rsidTr="0033443C">
        <w:trPr>
          <w:trHeight w:val="825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tLeas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坚持政府主导、市区联动、社会参与、资源共享，建立多主体供应、多渠道保障、租购并举的住房制度，加快推进人才公寓（租赁住房）建设。上述人才在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肥创新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创业，落户后即可购买首套住房。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市房产局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</w:tr>
      <w:tr w:rsidR="0033443C" w:rsidRPr="0033443C" w:rsidTr="0033443C">
        <w:trPr>
          <w:trHeight w:val="1140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tLeas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对新落户在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肥工作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暂无自有住房的博士、35岁以下的硕士、毕业3年内的全日制本科和大专、高等职业院校毕业生，三年内按每人每年2万元、1.5万元、1万元和0.6万元的标准发放租房补贴（不含党政机关、国有企事业单位人员），所需资金由市和县（市）区、开发区按1:1比例分摊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市房产局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</w:tc>
      </w:tr>
      <w:tr w:rsidR="0033443C" w:rsidRPr="0033443C" w:rsidTr="0033443C">
        <w:trPr>
          <w:trHeight w:val="840"/>
        </w:trPr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五、加强创业资金扶持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tLeas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加大财政投入力度，依法全面落实创业担保贷款政策和税费减免政策，鼓励天使基金、风险投资和创业投资基金等社会资本以多种方式支持大学生创业，拓宽多元化资金支持渠道。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市科技局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</w:tc>
      </w:tr>
      <w:tr w:rsidR="0033443C" w:rsidRPr="0033443C" w:rsidTr="0033443C">
        <w:trPr>
          <w:trHeight w:val="1080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tLeas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高校毕业生首次创办小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微企业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并正常经营6个月以上的，可享受1万元一次性创业补贴。设立大学生创业创新引导资金，为在校或毕业5年内的大学生创办企业提供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免资产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抵押融资支持，最高可提供免息贷款10万元，贷款期限最长不超过2年。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市科技局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经信委</w:t>
            </w:r>
            <w:proofErr w:type="gramEnd"/>
          </w:p>
        </w:tc>
      </w:tr>
      <w:tr w:rsidR="0033443C" w:rsidRPr="0033443C" w:rsidTr="0033443C">
        <w:trPr>
          <w:trHeight w:val="945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tLeas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对在校和毕业5年内的大学生创业企业进行综合评价，每年选出100个左右优秀大学生创业团队，最高给予10万元项目资助。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市科技局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经信委</w:t>
            </w:r>
            <w:proofErr w:type="gramEnd"/>
          </w:p>
        </w:tc>
      </w:tr>
      <w:tr w:rsidR="0033443C" w:rsidRPr="0033443C" w:rsidTr="0033443C">
        <w:trPr>
          <w:trHeight w:val="1755"/>
        </w:trPr>
        <w:tc>
          <w:tcPr>
            <w:tcW w:w="1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六、推进创业平台建设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鼓励社会各界整合资源，建设各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类创业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平台，推动老旧商业设施、仓储设施、闲置楼宇、过剩商业地产转为创业孵化基地，引导各类人才入驻创新创业。各县（市）区、开发区在地理位置、商业环境、交通条件适宜的地带，建设创新街区、创业特区、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众创空间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，为在校或毕业5年内的大学生提供低成本或免费创业工位。鼓励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众创空间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等平台载体增强服务功能，构建市场化、专业化、全方位的孵化培育机制，支持创业导师到各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类创业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平台开展创业辅导。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市科技局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市经信委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</w:tc>
      </w:tr>
      <w:tr w:rsidR="0033443C" w:rsidRPr="0033443C" w:rsidTr="0033443C">
        <w:trPr>
          <w:trHeight w:val="1050"/>
        </w:trPr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七、强化创业就业服务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支持和引导社会力量参与创业就业服务，鼓励多种模式建设“就业创业一站式服务中心”，服务中心成功为本地企业输送各类人才，签订一年以上劳动合同并缴纳社会保险的，按500元/人给予奖补（各类人才一年内不重复计算）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市经信委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市科技局</w:t>
            </w:r>
          </w:p>
        </w:tc>
      </w:tr>
      <w:tr w:rsidR="0033443C" w:rsidRPr="0033443C" w:rsidTr="0033443C">
        <w:trPr>
          <w:trHeight w:val="1200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17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在驻肥高校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设立一批“高校毕业生就业加油站”，综合设置招聘信息发布、就业指导服务、创业咨询培训、求职创业补贴申报、就业见习推荐等功能区，通过审核的，给予20万元一次性建设补助；年度绩效考评合格的“就业创业一站式服务中心”、“高校毕业生就业加油站”分别给予年度运行补助10万元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市教育局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经信委</w:t>
            </w:r>
            <w:proofErr w:type="gramEnd"/>
          </w:p>
        </w:tc>
      </w:tr>
      <w:tr w:rsidR="0033443C" w:rsidRPr="0033443C" w:rsidTr="0033443C">
        <w:trPr>
          <w:trHeight w:val="615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免费为大学生创业团队提供商事、财税、法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务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、知识产权、人力资源等全流程专业化服务。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市财政局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市科技局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经信委</w:t>
            </w:r>
            <w:proofErr w:type="gramEnd"/>
          </w:p>
        </w:tc>
      </w:tr>
      <w:tr w:rsidR="0033443C" w:rsidRPr="0033443C" w:rsidTr="0033443C">
        <w:trPr>
          <w:trHeight w:val="990"/>
        </w:trPr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b/>
                <w:bCs/>
                <w:color w:val="000000"/>
                <w:kern w:val="0"/>
              </w:rPr>
              <w:t>八、优化创新创业环境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19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大力推进“互联网+政务服务”，按照“最多跑一次”的要求，建设一体化人才智慧服务平台，实现网上统一申报、统一受理、统一审核、统一拨付，方便各类人才办事和在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肥创新</w:t>
            </w:r>
            <w:proofErr w:type="gramEnd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创业。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市数据资源局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市房产局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市公安局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经信委</w:t>
            </w:r>
            <w:proofErr w:type="gramEnd"/>
          </w:p>
        </w:tc>
      </w:tr>
      <w:tr w:rsidR="0033443C" w:rsidRPr="0033443C" w:rsidTr="0033443C">
        <w:trPr>
          <w:trHeight w:val="720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20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委托第三方机构编制发布“合肥人才创新创业报告”，定期开展人才发展环境满意度调查。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市经信委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市科技局</w:t>
            </w:r>
          </w:p>
        </w:tc>
      </w:tr>
      <w:tr w:rsidR="0033443C" w:rsidRPr="0033443C" w:rsidTr="0033443C">
        <w:trPr>
          <w:trHeight w:val="720"/>
        </w:trPr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43C" w:rsidRPr="0033443C" w:rsidRDefault="0033443C" w:rsidP="0033443C">
            <w:pPr>
              <w:spacing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21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完善人才工程绩效评估和征信体系，逐步建立人才项目评审“全程纪实、责任留痕”制度，增强人才评价公信力。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市人才办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</w:t>
            </w:r>
            <w:proofErr w:type="gramStart"/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人社局</w:t>
            </w:r>
            <w:proofErr w:type="gramEnd"/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市经信委</w:t>
            </w:r>
          </w:p>
          <w:p w:rsidR="0033443C" w:rsidRPr="0033443C" w:rsidRDefault="0033443C" w:rsidP="0033443C">
            <w:pPr>
              <w:spacing w:before="100" w:beforeAutospacing="1" w:after="100" w:afterAutospacing="1" w:line="240" w:lineRule="auto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000000"/>
                <w:kern w:val="0"/>
              </w:rPr>
              <w:t>市科技局</w:t>
            </w:r>
          </w:p>
        </w:tc>
      </w:tr>
    </w:tbl>
    <w:p w:rsidR="0033443C" w:rsidRPr="0033443C" w:rsidRDefault="0033443C" w:rsidP="0033443C">
      <w:pPr>
        <w:spacing w:before="100" w:beforeAutospacing="1" w:after="100" w:afterAutospacing="1" w:line="585" w:lineRule="atLeas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宋体" w:hAnsi="宋体" w:hint="eastAsia"/>
          <w:color w:val="333333"/>
          <w:kern w:val="0"/>
          <w:sz w:val="18"/>
          <w:szCs w:val="18"/>
        </w:rPr>
        <w:t>  </w:t>
      </w:r>
    </w:p>
    <w:p w:rsidR="0033443C" w:rsidRPr="0033443C" w:rsidRDefault="0033443C" w:rsidP="0033443C">
      <w:pPr>
        <w:spacing w:before="100" w:beforeAutospacing="1" w:after="100" w:afterAutospacing="1" w:line="315" w:lineRule="atLeast"/>
        <w:ind w:firstLine="240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黑体" w:eastAsia="黑体" w:hAnsi="黑体" w:hint="eastAsia"/>
          <w:color w:val="000000"/>
          <w:kern w:val="0"/>
          <w:sz w:val="24"/>
          <w:szCs w:val="24"/>
        </w:rPr>
        <w:t>注：</w:t>
      </w:r>
      <w:r w:rsidRPr="0033443C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以上各项工作的配合单位均含各县（市）区、开发区，表中不一</w:t>
      </w:r>
      <w:proofErr w:type="gramStart"/>
      <w:r w:rsidRPr="0033443C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一</w:t>
      </w:r>
      <w:proofErr w:type="gramEnd"/>
      <w:r w:rsidRPr="0033443C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列出。</w:t>
      </w:r>
    </w:p>
    <w:p w:rsidR="0033443C" w:rsidRPr="0033443C" w:rsidRDefault="0033443C" w:rsidP="0033443C">
      <w:pPr>
        <w:spacing w:before="100" w:beforeAutospacing="1" w:after="100" w:afterAutospacing="1" w:line="240" w:lineRule="auto"/>
        <w:rPr>
          <w:rFonts w:ascii="宋体" w:hAnsi="宋体" w:hint="eastAsia"/>
          <w:color w:val="333333"/>
          <w:kern w:val="0"/>
          <w:sz w:val="18"/>
          <w:szCs w:val="18"/>
        </w:rPr>
      </w:pPr>
    </w:p>
    <w:p w:rsidR="0033443C" w:rsidRPr="0033443C" w:rsidRDefault="0033443C" w:rsidP="0033443C">
      <w:pPr>
        <w:spacing w:before="100" w:beforeAutospacing="1" w:after="100" w:afterAutospacing="1" w:line="315" w:lineRule="atLeast"/>
        <w:rPr>
          <w:rFonts w:ascii="宋体" w:hAnsi="宋体" w:hint="eastAsia"/>
          <w:color w:val="333333"/>
          <w:kern w:val="0"/>
          <w:sz w:val="18"/>
          <w:szCs w:val="18"/>
        </w:rPr>
      </w:pPr>
      <w:r w:rsidRPr="0033443C">
        <w:rPr>
          <w:rFonts w:ascii="宋体" w:hAnsi="宋体" w:hint="eastAsia"/>
          <w:color w:val="333333"/>
          <w:kern w:val="0"/>
          <w:sz w:val="18"/>
          <w:szCs w:val="18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110"/>
      </w:tblGrid>
      <w:tr w:rsidR="0033443C" w:rsidRPr="0033443C" w:rsidTr="0033443C"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3443C" w:rsidRPr="0033443C" w:rsidRDefault="0033443C" w:rsidP="0033443C">
            <w:pPr>
              <w:spacing w:before="100" w:beforeAutospacing="1" w:after="100" w:afterAutospacing="1" w:line="405" w:lineRule="atLeast"/>
              <w:ind w:firstLine="330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333333"/>
                <w:spacing w:val="30"/>
                <w:kern w:val="0"/>
                <w:sz w:val="29"/>
                <w:szCs w:val="29"/>
              </w:rPr>
              <w:t>中共合肥市委办公</w:t>
            </w:r>
            <w:r w:rsidRPr="0033443C">
              <w:rPr>
                <w:rFonts w:ascii="仿宋_gb2312" w:eastAsia="仿宋_gb2312" w:hAnsi="宋体" w:hint="eastAsia"/>
                <w:color w:val="333333"/>
                <w:kern w:val="0"/>
                <w:sz w:val="29"/>
                <w:szCs w:val="29"/>
              </w:rPr>
              <w:t>厅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33443C" w:rsidRPr="0033443C" w:rsidRDefault="0033443C" w:rsidP="0033443C">
            <w:pPr>
              <w:spacing w:line="405" w:lineRule="atLeast"/>
              <w:jc w:val="right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 w:rsidRPr="0033443C">
              <w:rPr>
                <w:rFonts w:ascii="仿宋_gb2312" w:eastAsia="仿宋_gb2312" w:hAnsi="宋体" w:hint="eastAsia"/>
                <w:color w:val="333333"/>
                <w:kern w:val="0"/>
                <w:sz w:val="29"/>
                <w:szCs w:val="29"/>
              </w:rPr>
              <w:t xml:space="preserve">2018年4月26日印发 </w:t>
            </w:r>
          </w:p>
        </w:tc>
      </w:tr>
    </w:tbl>
    <w:p w:rsidR="00675D82" w:rsidRDefault="00675D82">
      <w:pPr>
        <w:rPr>
          <w:rFonts w:hint="eastAsia"/>
        </w:rPr>
      </w:pPr>
    </w:p>
    <w:sectPr w:rsidR="00675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6D"/>
    <w:rsid w:val="0033443C"/>
    <w:rsid w:val="00675D82"/>
    <w:rsid w:val="00B5126D"/>
    <w:rsid w:val="00D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43C"/>
    <w:pPr>
      <w:spacing w:before="100" w:beforeAutospacing="1" w:after="100" w:afterAutospacing="1" w:line="240" w:lineRule="auto"/>
    </w:pPr>
    <w:rPr>
      <w:rFonts w:ascii="宋体" w:hAnsi="宋体"/>
      <w:color w:val="333333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334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43C"/>
    <w:pPr>
      <w:spacing w:before="100" w:beforeAutospacing="1" w:after="100" w:afterAutospacing="1" w:line="240" w:lineRule="auto"/>
    </w:pPr>
    <w:rPr>
      <w:rFonts w:ascii="宋体" w:hAnsi="宋体"/>
      <w:color w:val="333333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33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721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702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803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2020-05-12T05:23:00Z</dcterms:created>
  <dcterms:modified xsi:type="dcterms:W3CDTF">2020-05-12T05:25:00Z</dcterms:modified>
</cp:coreProperties>
</file>